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B711" w14:textId="4E99280C" w:rsidR="00CA6D08" w:rsidRDefault="004E1384">
      <w:pPr>
        <w:contextualSpacing/>
      </w:pPr>
      <w:r>
        <w:rPr>
          <w:noProof/>
        </w:rPr>
        <w:drawing>
          <wp:anchor distT="0" distB="0" distL="114300" distR="114300" simplePos="0" relativeHeight="251658240" behindDoc="1" locked="0" layoutInCell="1" allowOverlap="1" wp14:anchorId="64A24221" wp14:editId="2DC8D719">
            <wp:simplePos x="0" y="0"/>
            <wp:positionH relativeFrom="column">
              <wp:posOffset>-1905</wp:posOffset>
            </wp:positionH>
            <wp:positionV relativeFrom="paragraph">
              <wp:posOffset>0</wp:posOffset>
            </wp:positionV>
            <wp:extent cx="838200" cy="838200"/>
            <wp:effectExtent l="0" t="0" r="0" b="0"/>
            <wp:wrapTight wrapText="bothSides">
              <wp:wrapPolygon edited="0">
                <wp:start x="0" y="0"/>
                <wp:lineTo x="0" y="21109"/>
                <wp:lineTo x="21109" y="21109"/>
                <wp:lineTo x="21109" y="0"/>
                <wp:lineTo x="0" y="0"/>
              </wp:wrapPolygon>
            </wp:wrapTight>
            <wp:docPr id="1779607790" name="Picture 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607790" name="Picture 1" descr="A red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14:paraId="07E69F97" w14:textId="77777777" w:rsidR="004E1384" w:rsidRDefault="004E1384" w:rsidP="004E1384">
      <w:pPr>
        <w:contextualSpacing/>
        <w:rPr>
          <w:rFonts w:ascii="Adobe Caslon Pro Bold" w:hAnsi="Adobe Caslon Pro Bold"/>
          <w:sz w:val="32"/>
          <w:szCs w:val="32"/>
        </w:rPr>
      </w:pPr>
      <w:r w:rsidRPr="004E1384">
        <w:rPr>
          <w:rFonts w:ascii="Adobe Caslon Pro Bold" w:hAnsi="Adobe Caslon Pro Bold"/>
          <w:sz w:val="32"/>
          <w:szCs w:val="32"/>
        </w:rPr>
        <w:t>Winsford Cottage Hospital Community Rooms</w:t>
      </w:r>
    </w:p>
    <w:p w14:paraId="73FFCFE6" w14:textId="1F4DD4BA" w:rsidR="000F1E94" w:rsidRPr="004E1384" w:rsidRDefault="004E1384" w:rsidP="004E1384">
      <w:pPr>
        <w:contextualSpacing/>
        <w:rPr>
          <w:rFonts w:ascii="Adobe Caslon Pro Bold" w:hAnsi="Adobe Caslon Pro Bold"/>
          <w:sz w:val="32"/>
          <w:szCs w:val="32"/>
        </w:rPr>
      </w:pPr>
      <w:r w:rsidRPr="004E1384">
        <w:rPr>
          <w:rFonts w:ascii="Adobe Caslon Pro Bold" w:hAnsi="Adobe Caslon Pro Bold"/>
          <w:sz w:val="32"/>
          <w:szCs w:val="32"/>
        </w:rPr>
        <w:t>Booking Form</w:t>
      </w:r>
    </w:p>
    <w:p w14:paraId="37D7B2B3" w14:textId="0C16DF8A" w:rsidR="00A959C9" w:rsidRDefault="000F1E94" w:rsidP="004E1384">
      <w:pPr>
        <w:rPr>
          <w:sz w:val="24"/>
          <w:szCs w:val="24"/>
        </w:rPr>
      </w:pPr>
      <w:r>
        <w:rPr>
          <w:sz w:val="24"/>
          <w:szCs w:val="24"/>
        </w:rPr>
        <w:t xml:space="preserve">Winsford Cottage Hospital Community Rooms comprise of a </w:t>
      </w:r>
      <w:r w:rsidR="004E1384">
        <w:rPr>
          <w:sz w:val="24"/>
          <w:szCs w:val="24"/>
        </w:rPr>
        <w:t>large therapy room</w:t>
      </w:r>
      <w:r w:rsidR="004E1384">
        <w:rPr>
          <w:sz w:val="24"/>
          <w:szCs w:val="24"/>
        </w:rPr>
        <w:t xml:space="preserve">, </w:t>
      </w:r>
      <w:r>
        <w:rPr>
          <w:sz w:val="24"/>
          <w:szCs w:val="24"/>
        </w:rPr>
        <w:t>a small one to one treatment room and</w:t>
      </w:r>
      <w:r w:rsidR="004E1384" w:rsidRPr="004E1384">
        <w:rPr>
          <w:sz w:val="24"/>
          <w:szCs w:val="24"/>
        </w:rPr>
        <w:t xml:space="preserve"> </w:t>
      </w:r>
      <w:r w:rsidR="004E1384">
        <w:rPr>
          <w:sz w:val="24"/>
          <w:szCs w:val="24"/>
        </w:rPr>
        <w:t xml:space="preserve">a community </w:t>
      </w:r>
      <w:r w:rsidR="004E1384">
        <w:rPr>
          <w:sz w:val="24"/>
          <w:szCs w:val="24"/>
        </w:rPr>
        <w:t>meeting room</w:t>
      </w:r>
      <w:r>
        <w:rPr>
          <w:sz w:val="24"/>
          <w:szCs w:val="24"/>
        </w:rPr>
        <w:t xml:space="preserve">.   </w:t>
      </w:r>
      <w:r w:rsidR="00C87332">
        <w:rPr>
          <w:sz w:val="24"/>
          <w:szCs w:val="24"/>
        </w:rPr>
        <w:t>These rooms are available to hire</w:t>
      </w:r>
      <w:r>
        <w:rPr>
          <w:sz w:val="24"/>
          <w:szCs w:val="24"/>
        </w:rPr>
        <w:t xml:space="preserve"> on an hourly</w:t>
      </w:r>
      <w:r w:rsidR="004E1384">
        <w:rPr>
          <w:sz w:val="24"/>
          <w:szCs w:val="24"/>
        </w:rPr>
        <w:t>, half day</w:t>
      </w:r>
      <w:r>
        <w:rPr>
          <w:sz w:val="24"/>
          <w:szCs w:val="24"/>
        </w:rPr>
        <w:t xml:space="preserve"> or daily basis</w:t>
      </w:r>
      <w:r w:rsidR="00047364">
        <w:rPr>
          <w:sz w:val="24"/>
          <w:szCs w:val="24"/>
        </w:rPr>
        <w:t>.</w:t>
      </w:r>
      <w:r w:rsidR="00D45898">
        <w:rPr>
          <w:sz w:val="24"/>
          <w:szCs w:val="24"/>
        </w:rPr>
        <w:t xml:space="preserve"> </w:t>
      </w:r>
      <w:r w:rsidR="00047364">
        <w:rPr>
          <w:sz w:val="24"/>
          <w:szCs w:val="24"/>
        </w:rPr>
        <w:t>There</w:t>
      </w:r>
      <w:r w:rsidR="00C87332">
        <w:rPr>
          <w:sz w:val="24"/>
          <w:szCs w:val="24"/>
        </w:rPr>
        <w:t xml:space="preserve"> is access to a</w:t>
      </w:r>
      <w:r w:rsidR="004E1384">
        <w:rPr>
          <w:sz w:val="24"/>
          <w:szCs w:val="24"/>
        </w:rPr>
        <w:t xml:space="preserve"> shared</w:t>
      </w:r>
      <w:r w:rsidR="00C87332">
        <w:rPr>
          <w:sz w:val="24"/>
          <w:szCs w:val="24"/>
        </w:rPr>
        <w:t xml:space="preserve"> kitchen</w:t>
      </w:r>
      <w:r w:rsidR="004E1384">
        <w:rPr>
          <w:sz w:val="24"/>
          <w:szCs w:val="24"/>
        </w:rPr>
        <w:t>ette</w:t>
      </w:r>
      <w:r w:rsidR="00C87332">
        <w:rPr>
          <w:sz w:val="24"/>
          <w:szCs w:val="24"/>
        </w:rPr>
        <w:t xml:space="preserve"> furnished with</w:t>
      </w:r>
      <w:r>
        <w:rPr>
          <w:sz w:val="24"/>
          <w:szCs w:val="24"/>
        </w:rPr>
        <w:t xml:space="preserve"> a refrigerator, kettle, </w:t>
      </w:r>
      <w:proofErr w:type="gramStart"/>
      <w:r>
        <w:rPr>
          <w:sz w:val="24"/>
          <w:szCs w:val="24"/>
        </w:rPr>
        <w:t>crockery</w:t>
      </w:r>
      <w:proofErr w:type="gramEnd"/>
      <w:r>
        <w:rPr>
          <w:sz w:val="24"/>
          <w:szCs w:val="24"/>
        </w:rPr>
        <w:t xml:space="preserve"> and cutlery.</w:t>
      </w:r>
      <w:r w:rsidR="00746F66">
        <w:rPr>
          <w:sz w:val="24"/>
          <w:szCs w:val="24"/>
        </w:rPr>
        <w:t xml:space="preserve">  There is also a wifi connection if required.  </w:t>
      </w:r>
      <w:r w:rsidR="00D45898">
        <w:rPr>
          <w:sz w:val="24"/>
          <w:szCs w:val="24"/>
        </w:rPr>
        <w:t>Outside there is</w:t>
      </w:r>
      <w:r w:rsidR="004E1384">
        <w:rPr>
          <w:sz w:val="24"/>
          <w:szCs w:val="24"/>
        </w:rPr>
        <w:t xml:space="preserve"> shared</w:t>
      </w:r>
      <w:r w:rsidR="00D45898">
        <w:rPr>
          <w:sz w:val="24"/>
          <w:szCs w:val="24"/>
        </w:rPr>
        <w:t xml:space="preserve"> parking for 6</w:t>
      </w:r>
      <w:r w:rsidR="00047364">
        <w:rPr>
          <w:sz w:val="24"/>
          <w:szCs w:val="24"/>
        </w:rPr>
        <w:t xml:space="preserve"> </w:t>
      </w:r>
      <w:r w:rsidR="00A959C9">
        <w:rPr>
          <w:sz w:val="24"/>
          <w:szCs w:val="24"/>
        </w:rPr>
        <w:t>vehicles.</w:t>
      </w:r>
    </w:p>
    <w:p w14:paraId="68EF5883" w14:textId="5D7652EA" w:rsidR="00A959C9" w:rsidRDefault="00A959C9" w:rsidP="004E1384">
      <w:pPr>
        <w:rPr>
          <w:sz w:val="24"/>
          <w:szCs w:val="24"/>
        </w:rPr>
      </w:pPr>
      <w:r>
        <w:rPr>
          <w:sz w:val="24"/>
          <w:szCs w:val="24"/>
        </w:rPr>
        <w:t xml:space="preserve">The rooms </w:t>
      </w:r>
      <w:r w:rsidR="004E1384">
        <w:rPr>
          <w:sz w:val="24"/>
          <w:szCs w:val="24"/>
        </w:rPr>
        <w:t>are</w:t>
      </w:r>
      <w:r w:rsidR="00746F66">
        <w:rPr>
          <w:sz w:val="24"/>
          <w:szCs w:val="24"/>
        </w:rPr>
        <w:t xml:space="preserve"> available for hire</w:t>
      </w:r>
      <w:r>
        <w:rPr>
          <w:sz w:val="24"/>
          <w:szCs w:val="24"/>
        </w:rPr>
        <w:t xml:space="preserve"> between </w:t>
      </w:r>
      <w:r w:rsidR="00D45898">
        <w:rPr>
          <w:sz w:val="24"/>
          <w:szCs w:val="24"/>
        </w:rPr>
        <w:t>the hours of 10 a.m. to 5</w:t>
      </w:r>
      <w:r>
        <w:rPr>
          <w:sz w:val="24"/>
          <w:szCs w:val="24"/>
        </w:rPr>
        <w:t xml:space="preserve"> </w:t>
      </w:r>
      <w:proofErr w:type="spellStart"/>
      <w:r>
        <w:rPr>
          <w:sz w:val="24"/>
          <w:szCs w:val="24"/>
        </w:rPr>
        <w:t>p.m</w:t>
      </w:r>
      <w:proofErr w:type="spellEnd"/>
      <w:r w:rsidR="004E1384">
        <w:rPr>
          <w:sz w:val="24"/>
          <w:szCs w:val="24"/>
        </w:rPr>
        <w:t>, Monday to Friday.</w:t>
      </w:r>
    </w:p>
    <w:tbl>
      <w:tblPr>
        <w:tblStyle w:val="TableGrid"/>
        <w:tblW w:w="0" w:type="auto"/>
        <w:jc w:val="center"/>
        <w:tblLook w:val="04A0" w:firstRow="1" w:lastRow="0" w:firstColumn="1" w:lastColumn="0" w:noHBand="0" w:noVBand="1"/>
      </w:tblPr>
      <w:tblGrid>
        <w:gridCol w:w="3204"/>
        <w:gridCol w:w="2874"/>
      </w:tblGrid>
      <w:tr w:rsidR="004E1384" w:rsidRPr="004E1384" w14:paraId="235A673B" w14:textId="77777777" w:rsidTr="004E1384">
        <w:trPr>
          <w:trHeight w:val="182"/>
          <w:jc w:val="center"/>
        </w:trPr>
        <w:tc>
          <w:tcPr>
            <w:tcW w:w="3204" w:type="dxa"/>
            <w:tcBorders>
              <w:top w:val="single" w:sz="4" w:space="0" w:color="auto"/>
              <w:left w:val="single" w:sz="4" w:space="0" w:color="auto"/>
              <w:bottom w:val="single" w:sz="4" w:space="0" w:color="auto"/>
              <w:right w:val="single" w:sz="4" w:space="0" w:color="auto"/>
            </w:tcBorders>
            <w:hideMark/>
          </w:tcPr>
          <w:p w14:paraId="74234E68" w14:textId="77777777" w:rsidR="004E1384" w:rsidRPr="004E1384" w:rsidRDefault="004E1384" w:rsidP="00AC165F">
            <w:pPr>
              <w:rPr>
                <w:b/>
                <w:bCs/>
              </w:rPr>
            </w:pPr>
            <w:r w:rsidRPr="004E1384">
              <w:rPr>
                <w:b/>
                <w:bCs/>
              </w:rPr>
              <w:t>Room</w:t>
            </w:r>
          </w:p>
        </w:tc>
        <w:tc>
          <w:tcPr>
            <w:tcW w:w="2874" w:type="dxa"/>
            <w:tcBorders>
              <w:top w:val="single" w:sz="4" w:space="0" w:color="auto"/>
              <w:left w:val="single" w:sz="4" w:space="0" w:color="auto"/>
              <w:bottom w:val="single" w:sz="4" w:space="0" w:color="auto"/>
              <w:right w:val="single" w:sz="4" w:space="0" w:color="auto"/>
            </w:tcBorders>
            <w:hideMark/>
          </w:tcPr>
          <w:p w14:paraId="0983E0F9" w14:textId="77777777" w:rsidR="004E1384" w:rsidRPr="004E1384" w:rsidRDefault="004E1384" w:rsidP="00AC165F">
            <w:pPr>
              <w:rPr>
                <w:b/>
                <w:bCs/>
              </w:rPr>
            </w:pPr>
            <w:r w:rsidRPr="004E1384">
              <w:rPr>
                <w:b/>
                <w:bCs/>
              </w:rPr>
              <w:t>Price (ex VAT)</w:t>
            </w:r>
          </w:p>
        </w:tc>
      </w:tr>
      <w:tr w:rsidR="004E1384" w14:paraId="06739428" w14:textId="77777777" w:rsidTr="004E1384">
        <w:trPr>
          <w:trHeight w:val="755"/>
          <w:jc w:val="center"/>
        </w:trPr>
        <w:tc>
          <w:tcPr>
            <w:tcW w:w="3204" w:type="dxa"/>
            <w:tcBorders>
              <w:top w:val="single" w:sz="4" w:space="0" w:color="auto"/>
              <w:left w:val="single" w:sz="4" w:space="0" w:color="auto"/>
              <w:bottom w:val="single" w:sz="4" w:space="0" w:color="auto"/>
              <w:right w:val="single" w:sz="4" w:space="0" w:color="auto"/>
            </w:tcBorders>
            <w:hideMark/>
          </w:tcPr>
          <w:p w14:paraId="5E3713CE" w14:textId="77777777" w:rsidR="004E1384" w:rsidRDefault="004E1384" w:rsidP="00AC165F">
            <w:r>
              <w:t>Community/Flexible Use Space</w:t>
            </w:r>
          </w:p>
        </w:tc>
        <w:tc>
          <w:tcPr>
            <w:tcW w:w="2874" w:type="dxa"/>
            <w:tcBorders>
              <w:top w:val="single" w:sz="4" w:space="0" w:color="auto"/>
              <w:left w:val="single" w:sz="4" w:space="0" w:color="auto"/>
              <w:bottom w:val="single" w:sz="4" w:space="0" w:color="auto"/>
              <w:right w:val="single" w:sz="4" w:space="0" w:color="auto"/>
            </w:tcBorders>
            <w:hideMark/>
          </w:tcPr>
          <w:p w14:paraId="01FFA9B8" w14:textId="77777777" w:rsidR="004E1384" w:rsidRDefault="004E1384" w:rsidP="00AC165F">
            <w:pPr>
              <w:rPr>
                <w:rFonts w:ascii="Calibri" w:hAnsi="Calibri" w:cs="Calibri"/>
                <w:color w:val="2A2A2A"/>
                <w:shd w:val="clear" w:color="auto" w:fill="FFFFFF"/>
              </w:rPr>
            </w:pPr>
            <w:r>
              <w:rPr>
                <w:rFonts w:ascii="Calibri" w:hAnsi="Calibri" w:cs="Calibri"/>
                <w:color w:val="2A2A2A"/>
                <w:shd w:val="clear" w:color="auto" w:fill="FFFFFF"/>
              </w:rPr>
              <w:t>£10 per hour</w:t>
            </w:r>
          </w:p>
          <w:p w14:paraId="481EB031" w14:textId="77777777" w:rsidR="004E1384" w:rsidRDefault="004E1384" w:rsidP="00AC165F">
            <w:pPr>
              <w:rPr>
                <w:rFonts w:ascii="Calibri" w:hAnsi="Calibri" w:cs="Calibri"/>
                <w:color w:val="2A2A2A"/>
                <w:shd w:val="clear" w:color="auto" w:fill="FFFFFF"/>
              </w:rPr>
            </w:pPr>
            <w:r>
              <w:rPr>
                <w:rFonts w:ascii="Calibri" w:hAnsi="Calibri" w:cs="Calibri"/>
                <w:color w:val="2A2A2A"/>
                <w:shd w:val="clear" w:color="auto" w:fill="FFFFFF"/>
              </w:rPr>
              <w:t>£30 half day (4 hours)</w:t>
            </w:r>
          </w:p>
          <w:p w14:paraId="5C5A120E" w14:textId="77777777" w:rsidR="004E1384" w:rsidRDefault="004E1384" w:rsidP="00AC165F">
            <w:r>
              <w:rPr>
                <w:rFonts w:ascii="Calibri" w:hAnsi="Calibri" w:cs="Calibri"/>
                <w:color w:val="2A2A2A"/>
                <w:shd w:val="clear" w:color="auto" w:fill="FFFFFF"/>
              </w:rPr>
              <w:t xml:space="preserve">£60 per day </w:t>
            </w:r>
          </w:p>
        </w:tc>
      </w:tr>
      <w:tr w:rsidR="004E1384" w14:paraId="2EC57393" w14:textId="77777777" w:rsidTr="004E1384">
        <w:trPr>
          <w:trHeight w:val="561"/>
          <w:jc w:val="center"/>
        </w:trPr>
        <w:tc>
          <w:tcPr>
            <w:tcW w:w="3204" w:type="dxa"/>
            <w:tcBorders>
              <w:top w:val="single" w:sz="4" w:space="0" w:color="auto"/>
              <w:left w:val="single" w:sz="4" w:space="0" w:color="auto"/>
              <w:bottom w:val="single" w:sz="4" w:space="0" w:color="auto"/>
              <w:right w:val="single" w:sz="4" w:space="0" w:color="auto"/>
            </w:tcBorders>
            <w:hideMark/>
          </w:tcPr>
          <w:p w14:paraId="1B0779AE" w14:textId="77777777" w:rsidR="004E1384" w:rsidRDefault="004E1384" w:rsidP="00AC165F">
            <w:r>
              <w:t>Large Therapy room</w:t>
            </w:r>
          </w:p>
        </w:tc>
        <w:tc>
          <w:tcPr>
            <w:tcW w:w="2874" w:type="dxa"/>
            <w:tcBorders>
              <w:top w:val="single" w:sz="4" w:space="0" w:color="auto"/>
              <w:left w:val="single" w:sz="4" w:space="0" w:color="auto"/>
              <w:bottom w:val="single" w:sz="4" w:space="0" w:color="auto"/>
              <w:right w:val="single" w:sz="4" w:space="0" w:color="auto"/>
            </w:tcBorders>
            <w:hideMark/>
          </w:tcPr>
          <w:p w14:paraId="08D3D611" w14:textId="77777777" w:rsidR="004E1384" w:rsidRDefault="004E1384" w:rsidP="00AC165F">
            <w:r>
              <w:t>£18 per half day (4 hours)</w:t>
            </w:r>
          </w:p>
          <w:p w14:paraId="41C7F316" w14:textId="77777777" w:rsidR="004E1384" w:rsidRDefault="004E1384" w:rsidP="00AC165F">
            <w:r>
              <w:t>£30 per day</w:t>
            </w:r>
          </w:p>
        </w:tc>
      </w:tr>
      <w:tr w:rsidR="004E1384" w14:paraId="0FF792F4" w14:textId="77777777" w:rsidTr="004E1384">
        <w:trPr>
          <w:trHeight w:val="561"/>
          <w:jc w:val="center"/>
        </w:trPr>
        <w:tc>
          <w:tcPr>
            <w:tcW w:w="3204" w:type="dxa"/>
            <w:tcBorders>
              <w:top w:val="single" w:sz="4" w:space="0" w:color="auto"/>
              <w:left w:val="single" w:sz="4" w:space="0" w:color="auto"/>
              <w:bottom w:val="single" w:sz="4" w:space="0" w:color="auto"/>
              <w:right w:val="single" w:sz="4" w:space="0" w:color="auto"/>
            </w:tcBorders>
            <w:hideMark/>
          </w:tcPr>
          <w:p w14:paraId="67EFAD69" w14:textId="77777777" w:rsidR="004E1384" w:rsidRDefault="004E1384" w:rsidP="00AC165F">
            <w:r>
              <w:t>Small 1:1 treatment room</w:t>
            </w:r>
          </w:p>
        </w:tc>
        <w:tc>
          <w:tcPr>
            <w:tcW w:w="2874" w:type="dxa"/>
            <w:tcBorders>
              <w:top w:val="single" w:sz="4" w:space="0" w:color="auto"/>
              <w:left w:val="single" w:sz="4" w:space="0" w:color="auto"/>
              <w:bottom w:val="single" w:sz="4" w:space="0" w:color="auto"/>
              <w:right w:val="single" w:sz="4" w:space="0" w:color="auto"/>
            </w:tcBorders>
            <w:hideMark/>
          </w:tcPr>
          <w:p w14:paraId="70DC7B45" w14:textId="77777777" w:rsidR="004E1384" w:rsidRDefault="004E1384" w:rsidP="00AC165F">
            <w:r>
              <w:t>£12 per half day (4 hours)</w:t>
            </w:r>
          </w:p>
          <w:p w14:paraId="5571F602" w14:textId="77777777" w:rsidR="004E1384" w:rsidRDefault="004E1384" w:rsidP="00AC165F">
            <w:r>
              <w:t>£20 per day</w:t>
            </w:r>
          </w:p>
        </w:tc>
      </w:tr>
      <w:tr w:rsidR="004E1384" w14:paraId="2AFF66ED" w14:textId="77777777" w:rsidTr="004E1384">
        <w:trPr>
          <w:trHeight w:val="554"/>
          <w:jc w:val="center"/>
        </w:trPr>
        <w:tc>
          <w:tcPr>
            <w:tcW w:w="3204" w:type="dxa"/>
            <w:tcBorders>
              <w:top w:val="single" w:sz="4" w:space="0" w:color="auto"/>
              <w:left w:val="single" w:sz="4" w:space="0" w:color="auto"/>
              <w:bottom w:val="single" w:sz="4" w:space="0" w:color="auto"/>
              <w:right w:val="single" w:sz="4" w:space="0" w:color="auto"/>
            </w:tcBorders>
            <w:hideMark/>
          </w:tcPr>
          <w:p w14:paraId="27CD6785" w14:textId="77777777" w:rsidR="004E1384" w:rsidRDefault="004E1384" w:rsidP="00AC165F">
            <w:r>
              <w:t>Exclusive use of all rooms</w:t>
            </w:r>
          </w:p>
        </w:tc>
        <w:tc>
          <w:tcPr>
            <w:tcW w:w="2874" w:type="dxa"/>
            <w:tcBorders>
              <w:top w:val="single" w:sz="4" w:space="0" w:color="auto"/>
              <w:left w:val="single" w:sz="4" w:space="0" w:color="auto"/>
              <w:bottom w:val="single" w:sz="4" w:space="0" w:color="auto"/>
              <w:right w:val="single" w:sz="4" w:space="0" w:color="auto"/>
            </w:tcBorders>
            <w:hideMark/>
          </w:tcPr>
          <w:p w14:paraId="0E091ABB" w14:textId="77777777" w:rsidR="004E1384" w:rsidRDefault="004E1384" w:rsidP="00AC165F">
            <w:r>
              <w:t>£50 per half day (4 hours)</w:t>
            </w:r>
          </w:p>
          <w:p w14:paraId="0E53415E" w14:textId="77777777" w:rsidR="004E1384" w:rsidRDefault="004E1384" w:rsidP="00AC165F">
            <w:r>
              <w:t>£100 per full day</w:t>
            </w:r>
          </w:p>
        </w:tc>
      </w:tr>
    </w:tbl>
    <w:p w14:paraId="7EE56752" w14:textId="77777777" w:rsidR="00D853D0" w:rsidRDefault="00D853D0" w:rsidP="00D853D0">
      <w:pPr>
        <w:spacing w:after="0"/>
        <w:jc w:val="both"/>
        <w:rPr>
          <w:sz w:val="24"/>
          <w:szCs w:val="24"/>
        </w:rPr>
      </w:pPr>
    </w:p>
    <w:p w14:paraId="41B9ABED" w14:textId="49F050E0" w:rsidR="00D853D0" w:rsidRDefault="00D853D0" w:rsidP="00D853D0">
      <w:pPr>
        <w:spacing w:after="0"/>
        <w:rPr>
          <w:sz w:val="24"/>
          <w:szCs w:val="24"/>
        </w:rPr>
      </w:pPr>
      <w:r>
        <w:rPr>
          <w:sz w:val="24"/>
          <w:szCs w:val="24"/>
        </w:rPr>
        <w:t xml:space="preserve">For enquiries or to </w:t>
      </w:r>
      <w:r w:rsidR="00E96FF3">
        <w:rPr>
          <w:sz w:val="24"/>
          <w:szCs w:val="24"/>
        </w:rPr>
        <w:t xml:space="preserve">request a </w:t>
      </w:r>
      <w:r>
        <w:rPr>
          <w:sz w:val="24"/>
          <w:szCs w:val="24"/>
        </w:rPr>
        <w:t>book</w:t>
      </w:r>
      <w:r w:rsidR="00E96FF3">
        <w:rPr>
          <w:sz w:val="24"/>
          <w:szCs w:val="24"/>
        </w:rPr>
        <w:t>ing</w:t>
      </w:r>
      <w:r>
        <w:rPr>
          <w:sz w:val="24"/>
          <w:szCs w:val="24"/>
        </w:rPr>
        <w:t xml:space="preserve"> please </w:t>
      </w:r>
      <w:r w:rsidR="004E1384">
        <w:rPr>
          <w:sz w:val="24"/>
          <w:szCs w:val="24"/>
        </w:rPr>
        <w:t>complete this form and sen</w:t>
      </w:r>
      <w:r w:rsidR="00E96FF3">
        <w:rPr>
          <w:sz w:val="24"/>
          <w:szCs w:val="24"/>
        </w:rPr>
        <w:t>d</w:t>
      </w:r>
      <w:r w:rsidR="004E1384">
        <w:rPr>
          <w:sz w:val="24"/>
          <w:szCs w:val="24"/>
        </w:rPr>
        <w:t xml:space="preserve"> it to </w:t>
      </w:r>
      <w:r>
        <w:rPr>
          <w:sz w:val="24"/>
          <w:szCs w:val="24"/>
        </w:rPr>
        <w:t xml:space="preserve">Barbara Chinn </w:t>
      </w:r>
      <w:r w:rsidR="004E1384">
        <w:rPr>
          <w:sz w:val="24"/>
          <w:szCs w:val="24"/>
        </w:rPr>
        <w:t xml:space="preserve">via </w:t>
      </w:r>
      <w:r>
        <w:rPr>
          <w:sz w:val="24"/>
          <w:szCs w:val="24"/>
        </w:rPr>
        <w:t xml:space="preserve">email </w:t>
      </w:r>
      <w:hyperlink r:id="rId9" w:history="1">
        <w:r w:rsidR="004E1384" w:rsidRPr="00226B26">
          <w:rPr>
            <w:rStyle w:val="Hyperlink"/>
            <w:sz w:val="24"/>
            <w:szCs w:val="24"/>
          </w:rPr>
          <w:t>winsford@landmarktrust.org.uk</w:t>
        </w:r>
      </w:hyperlink>
    </w:p>
    <w:p w14:paraId="7823FD99" w14:textId="77777777" w:rsidR="004E1384" w:rsidRDefault="004E1384" w:rsidP="00D853D0">
      <w:pPr>
        <w:spacing w:after="0"/>
        <w:rPr>
          <w:sz w:val="24"/>
          <w:szCs w:val="24"/>
        </w:rPr>
      </w:pPr>
    </w:p>
    <w:tbl>
      <w:tblPr>
        <w:tblStyle w:val="TableGrid"/>
        <w:tblW w:w="10007" w:type="dxa"/>
        <w:tblLook w:val="04A0" w:firstRow="1" w:lastRow="0" w:firstColumn="1" w:lastColumn="0" w:noHBand="0" w:noVBand="1"/>
      </w:tblPr>
      <w:tblGrid>
        <w:gridCol w:w="2263"/>
        <w:gridCol w:w="7744"/>
      </w:tblGrid>
      <w:tr w:rsidR="004E1384" w14:paraId="13D96638" w14:textId="77777777" w:rsidTr="00E96FF3">
        <w:trPr>
          <w:trHeight w:val="607"/>
        </w:trPr>
        <w:tc>
          <w:tcPr>
            <w:tcW w:w="2263" w:type="dxa"/>
            <w:shd w:val="clear" w:color="auto" w:fill="C1002B"/>
          </w:tcPr>
          <w:p w14:paraId="46FC6C19" w14:textId="42679B57" w:rsidR="004E1384" w:rsidRPr="00E96FF3" w:rsidRDefault="004E1384" w:rsidP="00D853D0">
            <w:pPr>
              <w:rPr>
                <w:b/>
                <w:bCs/>
                <w:color w:val="FFFFFF" w:themeColor="background1"/>
                <w:sz w:val="24"/>
                <w:szCs w:val="24"/>
              </w:rPr>
            </w:pPr>
            <w:r w:rsidRPr="00E96FF3">
              <w:rPr>
                <w:b/>
                <w:bCs/>
                <w:color w:val="FFFFFF" w:themeColor="background1"/>
                <w:sz w:val="24"/>
                <w:szCs w:val="24"/>
              </w:rPr>
              <w:t>Room/s</w:t>
            </w:r>
          </w:p>
        </w:tc>
        <w:tc>
          <w:tcPr>
            <w:tcW w:w="7744" w:type="dxa"/>
          </w:tcPr>
          <w:p w14:paraId="5CCBDC90" w14:textId="77777777" w:rsidR="004E1384" w:rsidRDefault="004E1384" w:rsidP="00D853D0">
            <w:pPr>
              <w:rPr>
                <w:sz w:val="24"/>
                <w:szCs w:val="24"/>
              </w:rPr>
            </w:pPr>
          </w:p>
        </w:tc>
      </w:tr>
      <w:tr w:rsidR="004E1384" w14:paraId="3CFDE702" w14:textId="77777777" w:rsidTr="00E96FF3">
        <w:trPr>
          <w:trHeight w:val="607"/>
        </w:trPr>
        <w:tc>
          <w:tcPr>
            <w:tcW w:w="2263" w:type="dxa"/>
            <w:shd w:val="clear" w:color="auto" w:fill="C1002B"/>
          </w:tcPr>
          <w:p w14:paraId="16332705" w14:textId="1291F196" w:rsidR="004E1384" w:rsidRPr="00E96FF3" w:rsidRDefault="004E1384" w:rsidP="00D853D0">
            <w:pPr>
              <w:rPr>
                <w:b/>
                <w:bCs/>
                <w:color w:val="FFFFFF" w:themeColor="background1"/>
                <w:sz w:val="24"/>
                <w:szCs w:val="24"/>
              </w:rPr>
            </w:pPr>
            <w:r w:rsidRPr="00E96FF3">
              <w:rPr>
                <w:b/>
                <w:bCs/>
                <w:color w:val="FFFFFF" w:themeColor="background1"/>
                <w:sz w:val="24"/>
                <w:szCs w:val="24"/>
              </w:rPr>
              <w:t>Date/s required</w:t>
            </w:r>
          </w:p>
        </w:tc>
        <w:tc>
          <w:tcPr>
            <w:tcW w:w="7744" w:type="dxa"/>
          </w:tcPr>
          <w:p w14:paraId="436CB8E4" w14:textId="77777777" w:rsidR="004E1384" w:rsidRDefault="004E1384" w:rsidP="00D853D0">
            <w:pPr>
              <w:rPr>
                <w:sz w:val="24"/>
                <w:szCs w:val="24"/>
              </w:rPr>
            </w:pPr>
          </w:p>
        </w:tc>
      </w:tr>
      <w:tr w:rsidR="004E1384" w14:paraId="079C5F00" w14:textId="77777777" w:rsidTr="00E96FF3">
        <w:trPr>
          <w:trHeight w:val="632"/>
        </w:trPr>
        <w:tc>
          <w:tcPr>
            <w:tcW w:w="2263" w:type="dxa"/>
            <w:shd w:val="clear" w:color="auto" w:fill="C1002B"/>
          </w:tcPr>
          <w:p w14:paraId="73940BF1" w14:textId="3216E9B8" w:rsidR="004E1384" w:rsidRPr="00E96FF3" w:rsidRDefault="004E1384" w:rsidP="00D853D0">
            <w:pPr>
              <w:rPr>
                <w:b/>
                <w:bCs/>
                <w:color w:val="FFFFFF" w:themeColor="background1"/>
                <w:sz w:val="24"/>
                <w:szCs w:val="24"/>
              </w:rPr>
            </w:pPr>
            <w:r w:rsidRPr="00E96FF3">
              <w:rPr>
                <w:b/>
                <w:bCs/>
                <w:color w:val="FFFFFF" w:themeColor="background1"/>
                <w:sz w:val="24"/>
                <w:szCs w:val="24"/>
              </w:rPr>
              <w:t>Time required</w:t>
            </w:r>
          </w:p>
        </w:tc>
        <w:tc>
          <w:tcPr>
            <w:tcW w:w="7744" w:type="dxa"/>
          </w:tcPr>
          <w:p w14:paraId="119B230D" w14:textId="77777777" w:rsidR="004E1384" w:rsidRDefault="004E1384" w:rsidP="00D853D0">
            <w:pPr>
              <w:rPr>
                <w:sz w:val="24"/>
                <w:szCs w:val="24"/>
              </w:rPr>
            </w:pPr>
          </w:p>
        </w:tc>
      </w:tr>
      <w:tr w:rsidR="004E1384" w14:paraId="293B6A77" w14:textId="77777777" w:rsidTr="00E96FF3">
        <w:trPr>
          <w:trHeight w:val="607"/>
        </w:trPr>
        <w:tc>
          <w:tcPr>
            <w:tcW w:w="2263" w:type="dxa"/>
            <w:shd w:val="clear" w:color="auto" w:fill="C1002B"/>
          </w:tcPr>
          <w:p w14:paraId="14F53C19" w14:textId="7BC7BAE1" w:rsidR="004E1384" w:rsidRPr="00E96FF3" w:rsidRDefault="004E1384" w:rsidP="00D853D0">
            <w:pPr>
              <w:rPr>
                <w:b/>
                <w:bCs/>
                <w:color w:val="FFFFFF" w:themeColor="background1"/>
                <w:sz w:val="24"/>
                <w:szCs w:val="24"/>
              </w:rPr>
            </w:pPr>
            <w:r w:rsidRPr="00E96FF3">
              <w:rPr>
                <w:b/>
                <w:bCs/>
                <w:color w:val="FFFFFF" w:themeColor="background1"/>
                <w:sz w:val="24"/>
                <w:szCs w:val="24"/>
              </w:rPr>
              <w:t>Total £ (ex VAT)</w:t>
            </w:r>
          </w:p>
        </w:tc>
        <w:tc>
          <w:tcPr>
            <w:tcW w:w="7744" w:type="dxa"/>
          </w:tcPr>
          <w:p w14:paraId="1F0F4E4C" w14:textId="77777777" w:rsidR="004E1384" w:rsidRDefault="004E1384" w:rsidP="00D853D0">
            <w:pPr>
              <w:rPr>
                <w:sz w:val="24"/>
                <w:szCs w:val="24"/>
              </w:rPr>
            </w:pPr>
          </w:p>
        </w:tc>
      </w:tr>
    </w:tbl>
    <w:p w14:paraId="1F150CE1" w14:textId="77777777" w:rsidR="004E1384" w:rsidRDefault="004E1384" w:rsidP="00D853D0">
      <w:pPr>
        <w:spacing w:after="0"/>
        <w:rPr>
          <w:sz w:val="24"/>
          <w:szCs w:val="24"/>
        </w:rPr>
      </w:pPr>
    </w:p>
    <w:tbl>
      <w:tblPr>
        <w:tblStyle w:val="TableGrid"/>
        <w:tblW w:w="10007" w:type="dxa"/>
        <w:tblLook w:val="04A0" w:firstRow="1" w:lastRow="0" w:firstColumn="1" w:lastColumn="0" w:noHBand="0" w:noVBand="1"/>
      </w:tblPr>
      <w:tblGrid>
        <w:gridCol w:w="2263"/>
        <w:gridCol w:w="7744"/>
      </w:tblGrid>
      <w:tr w:rsidR="004E1384" w14:paraId="47630B46" w14:textId="77777777" w:rsidTr="00E96FF3">
        <w:trPr>
          <w:trHeight w:val="607"/>
        </w:trPr>
        <w:tc>
          <w:tcPr>
            <w:tcW w:w="2263" w:type="dxa"/>
            <w:shd w:val="clear" w:color="auto" w:fill="C1002B"/>
          </w:tcPr>
          <w:p w14:paraId="1E1EED07" w14:textId="6CC45778" w:rsidR="004E1384" w:rsidRPr="00E96FF3" w:rsidRDefault="004E1384" w:rsidP="00AC165F">
            <w:pPr>
              <w:rPr>
                <w:b/>
                <w:bCs/>
                <w:color w:val="FFFFFF" w:themeColor="background1"/>
                <w:sz w:val="24"/>
                <w:szCs w:val="24"/>
              </w:rPr>
            </w:pPr>
            <w:r w:rsidRPr="00E96FF3">
              <w:rPr>
                <w:b/>
                <w:bCs/>
                <w:color w:val="FFFFFF" w:themeColor="background1"/>
                <w:sz w:val="24"/>
                <w:szCs w:val="24"/>
              </w:rPr>
              <w:t>Name</w:t>
            </w:r>
          </w:p>
        </w:tc>
        <w:tc>
          <w:tcPr>
            <w:tcW w:w="7744" w:type="dxa"/>
          </w:tcPr>
          <w:p w14:paraId="2377D640" w14:textId="77777777" w:rsidR="004E1384" w:rsidRDefault="004E1384" w:rsidP="00AC165F">
            <w:pPr>
              <w:rPr>
                <w:sz w:val="24"/>
                <w:szCs w:val="24"/>
              </w:rPr>
            </w:pPr>
          </w:p>
        </w:tc>
      </w:tr>
      <w:tr w:rsidR="004E1384" w14:paraId="735E5E20" w14:textId="77777777" w:rsidTr="00E96FF3">
        <w:trPr>
          <w:trHeight w:val="607"/>
        </w:trPr>
        <w:tc>
          <w:tcPr>
            <w:tcW w:w="2263" w:type="dxa"/>
            <w:shd w:val="clear" w:color="auto" w:fill="C1002B"/>
          </w:tcPr>
          <w:p w14:paraId="3DB454D8" w14:textId="1345E6AE" w:rsidR="004E1384" w:rsidRPr="00E96FF3" w:rsidRDefault="004E1384" w:rsidP="00AC165F">
            <w:pPr>
              <w:rPr>
                <w:b/>
                <w:bCs/>
                <w:color w:val="FFFFFF" w:themeColor="background1"/>
                <w:sz w:val="24"/>
                <w:szCs w:val="24"/>
              </w:rPr>
            </w:pPr>
            <w:r w:rsidRPr="00E96FF3">
              <w:rPr>
                <w:b/>
                <w:bCs/>
                <w:color w:val="FFFFFF" w:themeColor="background1"/>
                <w:sz w:val="24"/>
                <w:szCs w:val="24"/>
              </w:rPr>
              <w:t>Billing Address</w:t>
            </w:r>
          </w:p>
        </w:tc>
        <w:tc>
          <w:tcPr>
            <w:tcW w:w="7744" w:type="dxa"/>
          </w:tcPr>
          <w:p w14:paraId="4A27C932" w14:textId="77777777" w:rsidR="004E1384" w:rsidRDefault="004E1384" w:rsidP="00AC165F">
            <w:pPr>
              <w:rPr>
                <w:sz w:val="24"/>
                <w:szCs w:val="24"/>
              </w:rPr>
            </w:pPr>
          </w:p>
        </w:tc>
      </w:tr>
      <w:tr w:rsidR="004E1384" w14:paraId="34FC6788" w14:textId="77777777" w:rsidTr="00E96FF3">
        <w:trPr>
          <w:trHeight w:val="632"/>
        </w:trPr>
        <w:tc>
          <w:tcPr>
            <w:tcW w:w="2263" w:type="dxa"/>
            <w:shd w:val="clear" w:color="auto" w:fill="C1002B"/>
          </w:tcPr>
          <w:p w14:paraId="064DDF19" w14:textId="680D07C2" w:rsidR="004E1384" w:rsidRPr="00E96FF3" w:rsidRDefault="004E1384" w:rsidP="00AC165F">
            <w:pPr>
              <w:rPr>
                <w:b/>
                <w:bCs/>
                <w:color w:val="FFFFFF" w:themeColor="background1"/>
                <w:sz w:val="24"/>
                <w:szCs w:val="24"/>
              </w:rPr>
            </w:pPr>
            <w:r w:rsidRPr="00E96FF3">
              <w:rPr>
                <w:b/>
                <w:bCs/>
                <w:color w:val="FFFFFF" w:themeColor="background1"/>
                <w:sz w:val="24"/>
                <w:szCs w:val="24"/>
              </w:rPr>
              <w:t>Contact phone number</w:t>
            </w:r>
          </w:p>
        </w:tc>
        <w:tc>
          <w:tcPr>
            <w:tcW w:w="7744" w:type="dxa"/>
          </w:tcPr>
          <w:p w14:paraId="74748417" w14:textId="77777777" w:rsidR="004E1384" w:rsidRDefault="004E1384" w:rsidP="00AC165F">
            <w:pPr>
              <w:rPr>
                <w:sz w:val="24"/>
                <w:szCs w:val="24"/>
              </w:rPr>
            </w:pPr>
          </w:p>
        </w:tc>
      </w:tr>
      <w:tr w:rsidR="004E1384" w14:paraId="75F80707" w14:textId="77777777" w:rsidTr="00E96FF3">
        <w:trPr>
          <w:trHeight w:val="607"/>
        </w:trPr>
        <w:tc>
          <w:tcPr>
            <w:tcW w:w="2263" w:type="dxa"/>
            <w:shd w:val="clear" w:color="auto" w:fill="C1002B"/>
          </w:tcPr>
          <w:p w14:paraId="521CABF0" w14:textId="38114B89" w:rsidR="004E1384" w:rsidRPr="00E96FF3" w:rsidRDefault="004E1384" w:rsidP="00AC165F">
            <w:pPr>
              <w:rPr>
                <w:b/>
                <w:bCs/>
                <w:color w:val="FFFFFF" w:themeColor="background1"/>
                <w:sz w:val="24"/>
                <w:szCs w:val="24"/>
              </w:rPr>
            </w:pPr>
            <w:r w:rsidRPr="00E96FF3">
              <w:rPr>
                <w:b/>
                <w:bCs/>
                <w:color w:val="FFFFFF" w:themeColor="background1"/>
                <w:sz w:val="24"/>
                <w:szCs w:val="24"/>
              </w:rPr>
              <w:t>Email</w:t>
            </w:r>
          </w:p>
        </w:tc>
        <w:tc>
          <w:tcPr>
            <w:tcW w:w="7744" w:type="dxa"/>
          </w:tcPr>
          <w:p w14:paraId="30FD06BB" w14:textId="77777777" w:rsidR="004E1384" w:rsidRDefault="004E1384" w:rsidP="00AC165F">
            <w:pPr>
              <w:rPr>
                <w:sz w:val="24"/>
                <w:szCs w:val="24"/>
              </w:rPr>
            </w:pPr>
          </w:p>
        </w:tc>
      </w:tr>
    </w:tbl>
    <w:p w14:paraId="07F6B232" w14:textId="77777777" w:rsidR="004E1384" w:rsidRDefault="004E1384" w:rsidP="00D853D0">
      <w:pPr>
        <w:spacing w:after="0"/>
        <w:rPr>
          <w:sz w:val="24"/>
          <w:szCs w:val="24"/>
        </w:rPr>
      </w:pPr>
    </w:p>
    <w:p w14:paraId="2DAE3CAF" w14:textId="77777777" w:rsidR="004E1384" w:rsidRDefault="004E1384" w:rsidP="000F1E94">
      <w:pPr>
        <w:jc w:val="both"/>
        <w:rPr>
          <w:sz w:val="24"/>
          <w:szCs w:val="24"/>
        </w:rPr>
      </w:pPr>
      <w:r>
        <w:rPr>
          <w:i/>
          <w:sz w:val="24"/>
          <w:szCs w:val="24"/>
        </w:rPr>
        <w:t>I agree to the attached Landmark Trust Terms and Conditions for the hire of community use rooms at Winsford Cottage Hospital and will pay the agreed hire fee upon request.</w:t>
      </w:r>
      <w:r w:rsidR="00A959C9">
        <w:rPr>
          <w:sz w:val="24"/>
          <w:szCs w:val="24"/>
        </w:rPr>
        <w:tab/>
      </w:r>
    </w:p>
    <w:tbl>
      <w:tblPr>
        <w:tblStyle w:val="TableGrid"/>
        <w:tblW w:w="10007" w:type="dxa"/>
        <w:tblLook w:val="04A0" w:firstRow="1" w:lastRow="0" w:firstColumn="1" w:lastColumn="0" w:noHBand="0" w:noVBand="1"/>
      </w:tblPr>
      <w:tblGrid>
        <w:gridCol w:w="2263"/>
        <w:gridCol w:w="7744"/>
      </w:tblGrid>
      <w:tr w:rsidR="004E1384" w14:paraId="534CB228" w14:textId="77777777" w:rsidTr="00E96FF3">
        <w:trPr>
          <w:trHeight w:val="607"/>
        </w:trPr>
        <w:tc>
          <w:tcPr>
            <w:tcW w:w="2263" w:type="dxa"/>
            <w:shd w:val="clear" w:color="auto" w:fill="C1002B"/>
          </w:tcPr>
          <w:p w14:paraId="105AD3BA" w14:textId="77777777" w:rsidR="004E1384" w:rsidRPr="00E96FF3" w:rsidRDefault="004E1384" w:rsidP="00AC165F">
            <w:pPr>
              <w:rPr>
                <w:b/>
                <w:bCs/>
                <w:color w:val="FFFFFF" w:themeColor="background1"/>
                <w:sz w:val="24"/>
                <w:szCs w:val="24"/>
              </w:rPr>
            </w:pPr>
            <w:r w:rsidRPr="00E96FF3">
              <w:rPr>
                <w:b/>
                <w:bCs/>
                <w:color w:val="FFFFFF" w:themeColor="background1"/>
                <w:sz w:val="24"/>
                <w:szCs w:val="24"/>
              </w:rPr>
              <w:t>Signature</w:t>
            </w:r>
          </w:p>
        </w:tc>
        <w:tc>
          <w:tcPr>
            <w:tcW w:w="7744" w:type="dxa"/>
          </w:tcPr>
          <w:p w14:paraId="07794B5C" w14:textId="77777777" w:rsidR="004E1384" w:rsidRDefault="004E1384" w:rsidP="00AC165F">
            <w:pPr>
              <w:rPr>
                <w:sz w:val="24"/>
                <w:szCs w:val="24"/>
              </w:rPr>
            </w:pPr>
          </w:p>
        </w:tc>
      </w:tr>
      <w:tr w:rsidR="004E1384" w14:paraId="6349DCBB" w14:textId="77777777" w:rsidTr="00E96FF3">
        <w:trPr>
          <w:trHeight w:val="607"/>
        </w:trPr>
        <w:tc>
          <w:tcPr>
            <w:tcW w:w="2263" w:type="dxa"/>
            <w:shd w:val="clear" w:color="auto" w:fill="C1002B"/>
          </w:tcPr>
          <w:p w14:paraId="405B890A" w14:textId="77777777" w:rsidR="004E1384" w:rsidRPr="00E96FF3" w:rsidRDefault="004E1384" w:rsidP="00AC165F">
            <w:pPr>
              <w:rPr>
                <w:b/>
                <w:bCs/>
                <w:color w:val="FFFFFF" w:themeColor="background1"/>
                <w:sz w:val="24"/>
                <w:szCs w:val="24"/>
              </w:rPr>
            </w:pPr>
            <w:r w:rsidRPr="00E96FF3">
              <w:rPr>
                <w:b/>
                <w:bCs/>
                <w:color w:val="FFFFFF" w:themeColor="background1"/>
                <w:sz w:val="24"/>
                <w:szCs w:val="24"/>
              </w:rPr>
              <w:t>Print name</w:t>
            </w:r>
          </w:p>
        </w:tc>
        <w:tc>
          <w:tcPr>
            <w:tcW w:w="7744" w:type="dxa"/>
          </w:tcPr>
          <w:p w14:paraId="12A51CAD" w14:textId="77777777" w:rsidR="004E1384" w:rsidRDefault="004E1384" w:rsidP="00AC165F">
            <w:pPr>
              <w:rPr>
                <w:sz w:val="24"/>
                <w:szCs w:val="24"/>
              </w:rPr>
            </w:pPr>
          </w:p>
        </w:tc>
      </w:tr>
    </w:tbl>
    <w:p w14:paraId="2858789D" w14:textId="77777777" w:rsidR="00E96FF3" w:rsidRDefault="00E96FF3">
      <w:pPr>
        <w:rPr>
          <w:sz w:val="24"/>
          <w:szCs w:val="24"/>
        </w:rPr>
      </w:pPr>
      <w:r>
        <w:rPr>
          <w:sz w:val="24"/>
          <w:szCs w:val="24"/>
        </w:rPr>
        <w:br w:type="page"/>
      </w:r>
    </w:p>
    <w:p w14:paraId="311B3D57" w14:textId="578A3284" w:rsidR="00E96FF3" w:rsidRDefault="00E96FF3" w:rsidP="00E96FF3">
      <w:pPr>
        <w:pStyle w:val="Title"/>
      </w:pPr>
      <w:r>
        <w:rPr>
          <w:noProof/>
        </w:rPr>
        <w:drawing>
          <wp:anchor distT="0" distB="0" distL="114300" distR="114300" simplePos="0" relativeHeight="251662336" behindDoc="1" locked="0" layoutInCell="1" allowOverlap="1" wp14:anchorId="7E2FAC0E" wp14:editId="544ECF4F">
            <wp:simplePos x="0" y="0"/>
            <wp:positionH relativeFrom="column">
              <wp:posOffset>1905</wp:posOffset>
            </wp:positionH>
            <wp:positionV relativeFrom="paragraph">
              <wp:posOffset>0</wp:posOffset>
            </wp:positionV>
            <wp:extent cx="838200" cy="838200"/>
            <wp:effectExtent l="0" t="0" r="0" b="0"/>
            <wp:wrapTight wrapText="bothSides">
              <wp:wrapPolygon edited="0">
                <wp:start x="0" y="0"/>
                <wp:lineTo x="0" y="21109"/>
                <wp:lineTo x="21109" y="21109"/>
                <wp:lineTo x="21109" y="0"/>
                <wp:lineTo x="0" y="0"/>
              </wp:wrapPolygon>
            </wp:wrapTight>
            <wp:docPr id="24929101" name="Picture 2492910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607790" name="Picture 1" descr="A red background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4E1384">
        <w:t>Winsford Cottage Hospital Commun</w:t>
      </w:r>
      <w:r w:rsidRPr="00E96FF3">
        <w:rPr>
          <w:rStyle w:val="TitleChar"/>
        </w:rPr>
        <w:t>ity Rooms</w:t>
      </w:r>
    </w:p>
    <w:p w14:paraId="2C13DA28" w14:textId="249CD058" w:rsidR="00E96FF3" w:rsidRPr="00E96FF3" w:rsidRDefault="00E96FF3" w:rsidP="00E96FF3">
      <w:pPr>
        <w:pStyle w:val="Title"/>
      </w:pPr>
      <w:r w:rsidRPr="00E96FF3">
        <w:t>Terms and conditions for the hire of community use rooms</w:t>
      </w:r>
    </w:p>
    <w:p w14:paraId="10A50548" w14:textId="77777777" w:rsidR="00E96FF3" w:rsidRDefault="00E96FF3" w:rsidP="00E96FF3"/>
    <w:p w14:paraId="25C84FFC" w14:textId="77777777" w:rsidR="00E96FF3" w:rsidRPr="00E96FF3" w:rsidRDefault="00E96FF3" w:rsidP="00E96FF3">
      <w:pPr>
        <w:rPr>
          <w:sz w:val="24"/>
          <w:szCs w:val="24"/>
        </w:rPr>
      </w:pPr>
      <w:r w:rsidRPr="00E96FF3">
        <w:rPr>
          <w:sz w:val="24"/>
          <w:szCs w:val="24"/>
        </w:rPr>
        <w:t>The Hirer agrees to adhere to the following terms and conditions:</w:t>
      </w:r>
    </w:p>
    <w:p w14:paraId="10B12C33" w14:textId="77777777" w:rsidR="00E96FF3" w:rsidRPr="00E96FF3" w:rsidRDefault="00E96FF3" w:rsidP="00E96FF3">
      <w:pPr>
        <w:pStyle w:val="ListParagraph"/>
        <w:numPr>
          <w:ilvl w:val="0"/>
          <w:numId w:val="1"/>
        </w:numPr>
        <w:rPr>
          <w:sz w:val="24"/>
          <w:szCs w:val="24"/>
        </w:rPr>
      </w:pPr>
      <w:r w:rsidRPr="00E96FF3">
        <w:rPr>
          <w:sz w:val="24"/>
          <w:szCs w:val="24"/>
        </w:rPr>
        <w:tab/>
        <w:t>To use the room only for the purposes as agreed with The Landmark Trust</w:t>
      </w:r>
    </w:p>
    <w:p w14:paraId="77F95619" w14:textId="77777777" w:rsidR="00E96FF3" w:rsidRPr="00E96FF3" w:rsidRDefault="00E96FF3" w:rsidP="00E96FF3">
      <w:pPr>
        <w:pStyle w:val="ListParagraph"/>
        <w:ind w:left="360"/>
        <w:rPr>
          <w:sz w:val="24"/>
          <w:szCs w:val="24"/>
        </w:rPr>
      </w:pPr>
    </w:p>
    <w:p w14:paraId="3368F86A" w14:textId="77777777" w:rsidR="00E96FF3" w:rsidRPr="00E96FF3" w:rsidRDefault="00E96FF3" w:rsidP="00E96FF3">
      <w:pPr>
        <w:pStyle w:val="ListParagraph"/>
        <w:numPr>
          <w:ilvl w:val="0"/>
          <w:numId w:val="1"/>
        </w:numPr>
        <w:ind w:left="720" w:hanging="720"/>
        <w:rPr>
          <w:sz w:val="24"/>
          <w:szCs w:val="24"/>
        </w:rPr>
      </w:pPr>
      <w:r w:rsidRPr="00E96FF3">
        <w:rPr>
          <w:sz w:val="24"/>
          <w:szCs w:val="24"/>
        </w:rPr>
        <w:t>To use the Community Rooms between the agreed times as stated on the Booking Form only</w:t>
      </w:r>
      <w:r w:rsidRPr="00E96FF3">
        <w:rPr>
          <w:sz w:val="24"/>
          <w:szCs w:val="24"/>
        </w:rPr>
        <w:br/>
      </w:r>
    </w:p>
    <w:p w14:paraId="5D0ED3BF" w14:textId="77777777" w:rsidR="00E96FF3" w:rsidRPr="00E96FF3" w:rsidRDefault="00E96FF3" w:rsidP="00E96FF3">
      <w:pPr>
        <w:pStyle w:val="ListParagraph"/>
        <w:numPr>
          <w:ilvl w:val="0"/>
          <w:numId w:val="1"/>
        </w:numPr>
        <w:ind w:left="720" w:hanging="720"/>
        <w:rPr>
          <w:sz w:val="24"/>
          <w:szCs w:val="24"/>
        </w:rPr>
      </w:pPr>
      <w:r w:rsidRPr="00E96FF3">
        <w:rPr>
          <w:sz w:val="24"/>
          <w:szCs w:val="24"/>
        </w:rPr>
        <w:t>The use of the Community Rooms gives no proprietary interest whatsoever to the Hirer nor does it confer exclusive possession of the Community Rooms or create any relationship of Landlord and Tenant</w:t>
      </w:r>
      <w:r w:rsidRPr="00E96FF3">
        <w:rPr>
          <w:sz w:val="24"/>
          <w:szCs w:val="24"/>
        </w:rPr>
        <w:br/>
      </w:r>
    </w:p>
    <w:p w14:paraId="1CDE2D0A" w14:textId="77777777" w:rsidR="00E96FF3" w:rsidRPr="00E96FF3" w:rsidRDefault="00E96FF3" w:rsidP="00E96FF3">
      <w:pPr>
        <w:pStyle w:val="ListParagraph"/>
        <w:numPr>
          <w:ilvl w:val="0"/>
          <w:numId w:val="1"/>
        </w:numPr>
        <w:ind w:left="720" w:hanging="720"/>
        <w:rPr>
          <w:sz w:val="24"/>
          <w:szCs w:val="24"/>
        </w:rPr>
      </w:pPr>
      <w:r w:rsidRPr="00E96FF3">
        <w:rPr>
          <w:sz w:val="24"/>
          <w:szCs w:val="24"/>
        </w:rPr>
        <w:t>The Hirer agrees to pay the hiring fee in full as stated on the Booking Form</w:t>
      </w:r>
      <w:r w:rsidRPr="00E96FF3">
        <w:rPr>
          <w:sz w:val="24"/>
          <w:szCs w:val="24"/>
        </w:rPr>
        <w:br/>
      </w:r>
    </w:p>
    <w:p w14:paraId="1272ACA1" w14:textId="77777777" w:rsidR="00E96FF3" w:rsidRPr="00E96FF3" w:rsidRDefault="00E96FF3" w:rsidP="00E96FF3">
      <w:pPr>
        <w:pStyle w:val="ListParagraph"/>
        <w:numPr>
          <w:ilvl w:val="0"/>
          <w:numId w:val="1"/>
        </w:numPr>
        <w:ind w:left="720" w:hanging="720"/>
        <w:rPr>
          <w:sz w:val="24"/>
          <w:szCs w:val="24"/>
        </w:rPr>
      </w:pPr>
      <w:r w:rsidRPr="00E96FF3">
        <w:rPr>
          <w:sz w:val="24"/>
          <w:szCs w:val="24"/>
        </w:rPr>
        <w:t>Not to do any act or thing on or about or near the Community Rooms which may be or become a nuisance or cause damage or annoyance</w:t>
      </w:r>
      <w:r w:rsidRPr="00E96FF3">
        <w:rPr>
          <w:sz w:val="24"/>
          <w:szCs w:val="24"/>
        </w:rPr>
        <w:br/>
      </w:r>
    </w:p>
    <w:p w14:paraId="545567B7" w14:textId="77777777" w:rsidR="00E96FF3" w:rsidRPr="00E96FF3" w:rsidRDefault="00E96FF3" w:rsidP="00E96FF3">
      <w:pPr>
        <w:pStyle w:val="ListParagraph"/>
        <w:numPr>
          <w:ilvl w:val="0"/>
          <w:numId w:val="1"/>
        </w:numPr>
        <w:ind w:left="720" w:hanging="720"/>
        <w:rPr>
          <w:sz w:val="24"/>
          <w:szCs w:val="24"/>
        </w:rPr>
      </w:pPr>
      <w:r w:rsidRPr="00E96FF3">
        <w:rPr>
          <w:sz w:val="24"/>
          <w:szCs w:val="24"/>
        </w:rPr>
        <w:t>At all times fully and effectually to indemnify The Landmark Trust against any liability whatsoever and howsoever caused arising out of the use of the Community Rooms by the Hirer or its employees and/or invitees</w:t>
      </w:r>
      <w:r w:rsidRPr="00E96FF3">
        <w:rPr>
          <w:sz w:val="24"/>
          <w:szCs w:val="24"/>
        </w:rPr>
        <w:br/>
      </w:r>
    </w:p>
    <w:p w14:paraId="6B78BF67" w14:textId="77777777" w:rsidR="00E96FF3" w:rsidRPr="00E96FF3" w:rsidRDefault="00E96FF3" w:rsidP="00E96FF3">
      <w:pPr>
        <w:pStyle w:val="ListParagraph"/>
        <w:numPr>
          <w:ilvl w:val="0"/>
          <w:numId w:val="1"/>
        </w:numPr>
        <w:ind w:left="720" w:hanging="720"/>
        <w:rPr>
          <w:sz w:val="24"/>
          <w:szCs w:val="24"/>
        </w:rPr>
      </w:pPr>
      <w:r w:rsidRPr="00E96FF3">
        <w:rPr>
          <w:sz w:val="24"/>
          <w:szCs w:val="24"/>
        </w:rPr>
        <w:t>At the end of the hire period to remove any thing belonging to the Hirer which may be in the Community Rooms</w:t>
      </w:r>
      <w:r w:rsidRPr="00E96FF3">
        <w:rPr>
          <w:sz w:val="24"/>
          <w:szCs w:val="24"/>
        </w:rPr>
        <w:br/>
      </w:r>
    </w:p>
    <w:p w14:paraId="1253D027" w14:textId="77777777" w:rsidR="00E96FF3" w:rsidRPr="00E96FF3" w:rsidRDefault="00E96FF3" w:rsidP="00E96FF3">
      <w:pPr>
        <w:pStyle w:val="ListParagraph"/>
        <w:numPr>
          <w:ilvl w:val="0"/>
          <w:numId w:val="1"/>
        </w:numPr>
        <w:ind w:left="720" w:hanging="720"/>
        <w:rPr>
          <w:sz w:val="24"/>
          <w:szCs w:val="24"/>
        </w:rPr>
      </w:pPr>
      <w:r w:rsidRPr="00E96FF3">
        <w:rPr>
          <w:sz w:val="24"/>
          <w:szCs w:val="24"/>
        </w:rPr>
        <w:t>To maintain public liability insurance during the period of Hire and to provide details of such insurance to The Landmark Trust upon demand</w:t>
      </w:r>
      <w:r w:rsidRPr="00E96FF3">
        <w:rPr>
          <w:sz w:val="24"/>
          <w:szCs w:val="24"/>
        </w:rPr>
        <w:br/>
      </w:r>
    </w:p>
    <w:p w14:paraId="346513DA" w14:textId="77777777" w:rsidR="00E96FF3" w:rsidRPr="00E96FF3" w:rsidRDefault="00E96FF3" w:rsidP="00E96FF3">
      <w:pPr>
        <w:pStyle w:val="ListParagraph"/>
        <w:numPr>
          <w:ilvl w:val="0"/>
          <w:numId w:val="1"/>
        </w:numPr>
        <w:ind w:left="720" w:hanging="720"/>
        <w:rPr>
          <w:sz w:val="24"/>
          <w:szCs w:val="24"/>
        </w:rPr>
      </w:pPr>
      <w:r w:rsidRPr="00E96FF3">
        <w:rPr>
          <w:sz w:val="24"/>
          <w:szCs w:val="24"/>
        </w:rPr>
        <w:t>Not to store any fuel or inflammable or combustible substance in the Community Rooms</w:t>
      </w:r>
      <w:r w:rsidRPr="00E96FF3">
        <w:rPr>
          <w:sz w:val="24"/>
          <w:szCs w:val="24"/>
        </w:rPr>
        <w:br/>
      </w:r>
    </w:p>
    <w:p w14:paraId="24B76811" w14:textId="77777777" w:rsidR="00E96FF3" w:rsidRPr="00E96FF3" w:rsidRDefault="00E96FF3" w:rsidP="00E96FF3">
      <w:pPr>
        <w:pStyle w:val="ListParagraph"/>
        <w:numPr>
          <w:ilvl w:val="0"/>
          <w:numId w:val="1"/>
        </w:numPr>
        <w:ind w:left="720" w:hanging="720"/>
        <w:rPr>
          <w:sz w:val="24"/>
          <w:szCs w:val="24"/>
        </w:rPr>
      </w:pPr>
      <w:r w:rsidRPr="00E96FF3">
        <w:rPr>
          <w:sz w:val="24"/>
          <w:szCs w:val="24"/>
        </w:rPr>
        <w:t>Not to deposit any articles of rubbish or litter in the Community Rooms or permit the Community Rooms to become dirty or untidy or in a dangerous condition</w:t>
      </w:r>
      <w:r w:rsidRPr="00E96FF3">
        <w:rPr>
          <w:sz w:val="24"/>
          <w:szCs w:val="24"/>
        </w:rPr>
        <w:br/>
      </w:r>
    </w:p>
    <w:p w14:paraId="2B200DCC" w14:textId="77777777" w:rsidR="00E96FF3" w:rsidRPr="00E96FF3" w:rsidRDefault="00E96FF3" w:rsidP="00E96FF3">
      <w:pPr>
        <w:pStyle w:val="ListParagraph"/>
        <w:numPr>
          <w:ilvl w:val="0"/>
          <w:numId w:val="1"/>
        </w:numPr>
        <w:ind w:left="720" w:hanging="720"/>
        <w:rPr>
          <w:sz w:val="24"/>
          <w:szCs w:val="24"/>
        </w:rPr>
      </w:pPr>
      <w:r w:rsidRPr="00E96FF3">
        <w:rPr>
          <w:sz w:val="24"/>
          <w:szCs w:val="24"/>
        </w:rPr>
        <w:t>Not to make any alterations or additions to the Community Rooms</w:t>
      </w:r>
      <w:r w:rsidRPr="00E96FF3">
        <w:rPr>
          <w:sz w:val="24"/>
          <w:szCs w:val="24"/>
        </w:rPr>
        <w:br/>
      </w:r>
    </w:p>
    <w:p w14:paraId="07BE18BD" w14:textId="77777777" w:rsidR="00E96FF3" w:rsidRPr="00E96FF3" w:rsidRDefault="00E96FF3" w:rsidP="00E96FF3">
      <w:pPr>
        <w:pStyle w:val="ListParagraph"/>
        <w:numPr>
          <w:ilvl w:val="0"/>
          <w:numId w:val="1"/>
        </w:numPr>
        <w:ind w:left="720" w:hanging="720"/>
        <w:rPr>
          <w:sz w:val="24"/>
          <w:szCs w:val="24"/>
        </w:rPr>
      </w:pPr>
      <w:r w:rsidRPr="00E96FF3">
        <w:rPr>
          <w:sz w:val="24"/>
          <w:szCs w:val="24"/>
        </w:rPr>
        <w:t>Not to sub-let or assign the Hire Period either in whole or in part</w:t>
      </w:r>
      <w:r w:rsidRPr="00E96FF3">
        <w:rPr>
          <w:sz w:val="24"/>
          <w:szCs w:val="24"/>
        </w:rPr>
        <w:br/>
      </w:r>
    </w:p>
    <w:p w14:paraId="22C7C508" w14:textId="77777777" w:rsidR="00E96FF3" w:rsidRPr="00E96FF3" w:rsidRDefault="00E96FF3" w:rsidP="00E96FF3">
      <w:pPr>
        <w:pStyle w:val="ListParagraph"/>
        <w:numPr>
          <w:ilvl w:val="0"/>
          <w:numId w:val="1"/>
        </w:numPr>
        <w:ind w:left="720" w:hanging="720"/>
        <w:rPr>
          <w:sz w:val="24"/>
          <w:szCs w:val="24"/>
        </w:rPr>
      </w:pPr>
      <w:r w:rsidRPr="00E96FF3">
        <w:rPr>
          <w:sz w:val="24"/>
          <w:szCs w:val="24"/>
        </w:rPr>
        <w:t>Not to permit any smoking in the Community Rooms</w:t>
      </w:r>
      <w:r w:rsidRPr="00E96FF3">
        <w:rPr>
          <w:sz w:val="24"/>
          <w:szCs w:val="24"/>
        </w:rPr>
        <w:br/>
      </w:r>
    </w:p>
    <w:p w14:paraId="64DE8A7D" w14:textId="77777777" w:rsidR="00E96FF3" w:rsidRPr="00E96FF3" w:rsidRDefault="00E96FF3" w:rsidP="00E96FF3">
      <w:pPr>
        <w:pStyle w:val="ListParagraph"/>
        <w:numPr>
          <w:ilvl w:val="0"/>
          <w:numId w:val="1"/>
        </w:numPr>
        <w:ind w:left="720" w:hanging="720"/>
        <w:rPr>
          <w:sz w:val="24"/>
          <w:szCs w:val="24"/>
        </w:rPr>
      </w:pPr>
      <w:r w:rsidRPr="00E96FF3">
        <w:rPr>
          <w:sz w:val="24"/>
          <w:szCs w:val="24"/>
        </w:rPr>
        <w:t>To be responsible for the security of the Community Rooms</w:t>
      </w:r>
      <w:r w:rsidRPr="00E96FF3">
        <w:rPr>
          <w:sz w:val="24"/>
          <w:szCs w:val="24"/>
        </w:rPr>
        <w:br/>
      </w:r>
    </w:p>
    <w:p w14:paraId="4873BB4C" w14:textId="77777777" w:rsidR="00E96FF3" w:rsidRPr="00E96FF3" w:rsidRDefault="00E96FF3" w:rsidP="00E96FF3">
      <w:pPr>
        <w:pStyle w:val="ListParagraph"/>
        <w:numPr>
          <w:ilvl w:val="0"/>
          <w:numId w:val="1"/>
        </w:numPr>
        <w:ind w:left="720" w:hanging="720"/>
        <w:rPr>
          <w:sz w:val="24"/>
          <w:szCs w:val="24"/>
        </w:rPr>
      </w:pPr>
      <w:r w:rsidRPr="00E96FF3">
        <w:rPr>
          <w:sz w:val="24"/>
          <w:szCs w:val="24"/>
        </w:rPr>
        <w:t xml:space="preserve">To comply with all fire and health and safety regulations in respect of the Community Rooms and the remainder of the </w:t>
      </w:r>
      <w:proofErr w:type="gramStart"/>
      <w:r w:rsidRPr="00E96FF3">
        <w:rPr>
          <w:sz w:val="24"/>
          <w:szCs w:val="24"/>
        </w:rPr>
        <w:t>Building</w:t>
      </w:r>
      <w:proofErr w:type="gramEnd"/>
    </w:p>
    <w:p w14:paraId="28514D78" w14:textId="77777777" w:rsidR="000F1E94" w:rsidRPr="000F1E94" w:rsidRDefault="000F1E94" w:rsidP="00DF0522">
      <w:pPr>
        <w:jc w:val="both"/>
        <w:rPr>
          <w:sz w:val="24"/>
          <w:szCs w:val="24"/>
        </w:rPr>
      </w:pPr>
    </w:p>
    <w:sectPr w:rsidR="000F1E94" w:rsidRPr="000F1E94" w:rsidSect="004E1384">
      <w:pgSz w:w="11906" w:h="16838"/>
      <w:pgMar w:top="567"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altName w:val="Palatino Linotype"/>
    <w:panose1 w:val="0205070206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3274"/>
    <w:multiLevelType w:val="hybridMultilevel"/>
    <w:tmpl w:val="85EC44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56528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94"/>
    <w:rsid w:val="00036BB6"/>
    <w:rsid w:val="00047364"/>
    <w:rsid w:val="000555DA"/>
    <w:rsid w:val="000F1E94"/>
    <w:rsid w:val="001B71C6"/>
    <w:rsid w:val="00234B5C"/>
    <w:rsid w:val="00260ECA"/>
    <w:rsid w:val="00297C18"/>
    <w:rsid w:val="002F2D0D"/>
    <w:rsid w:val="0042355C"/>
    <w:rsid w:val="0045532F"/>
    <w:rsid w:val="00470AA5"/>
    <w:rsid w:val="004B0960"/>
    <w:rsid w:val="004E095F"/>
    <w:rsid w:val="004E1384"/>
    <w:rsid w:val="004F45D5"/>
    <w:rsid w:val="0053146C"/>
    <w:rsid w:val="0058522A"/>
    <w:rsid w:val="00586C0D"/>
    <w:rsid w:val="005C13B7"/>
    <w:rsid w:val="006C4408"/>
    <w:rsid w:val="006E629C"/>
    <w:rsid w:val="007077FF"/>
    <w:rsid w:val="00746F66"/>
    <w:rsid w:val="007F1476"/>
    <w:rsid w:val="00877C4B"/>
    <w:rsid w:val="00942DED"/>
    <w:rsid w:val="00973746"/>
    <w:rsid w:val="009C5BED"/>
    <w:rsid w:val="00A2726D"/>
    <w:rsid w:val="00A535DC"/>
    <w:rsid w:val="00A959C9"/>
    <w:rsid w:val="00B7578F"/>
    <w:rsid w:val="00BA4A3D"/>
    <w:rsid w:val="00BF169D"/>
    <w:rsid w:val="00C87332"/>
    <w:rsid w:val="00CA6D08"/>
    <w:rsid w:val="00CC6682"/>
    <w:rsid w:val="00CD07B4"/>
    <w:rsid w:val="00D2434E"/>
    <w:rsid w:val="00D45898"/>
    <w:rsid w:val="00D853D0"/>
    <w:rsid w:val="00DD574B"/>
    <w:rsid w:val="00DF0522"/>
    <w:rsid w:val="00E96FF3"/>
    <w:rsid w:val="00EF7628"/>
    <w:rsid w:val="00F3176A"/>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26F7"/>
  <w15:chartTrackingRefBased/>
  <w15:docId w15:val="{C8B40245-7BC8-4783-8B6A-50438813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46F66"/>
    <w:rPr>
      <w:i/>
      <w:iCs/>
    </w:rPr>
  </w:style>
  <w:style w:type="character" w:styleId="Hyperlink">
    <w:name w:val="Hyperlink"/>
    <w:basedOn w:val="DefaultParagraphFont"/>
    <w:uiPriority w:val="99"/>
    <w:unhideWhenUsed/>
    <w:rsid w:val="00D853D0"/>
    <w:rPr>
      <w:color w:val="0563C1" w:themeColor="hyperlink"/>
      <w:u w:val="single"/>
    </w:rPr>
  </w:style>
  <w:style w:type="paragraph" w:styleId="BalloonText">
    <w:name w:val="Balloon Text"/>
    <w:basedOn w:val="Normal"/>
    <w:link w:val="BalloonTextChar"/>
    <w:uiPriority w:val="99"/>
    <w:semiHidden/>
    <w:unhideWhenUsed/>
    <w:rsid w:val="00D45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98"/>
    <w:rPr>
      <w:rFonts w:ascii="Segoe UI" w:hAnsi="Segoe UI" w:cs="Segoe UI"/>
      <w:sz w:val="18"/>
      <w:szCs w:val="18"/>
    </w:rPr>
  </w:style>
  <w:style w:type="character" w:styleId="UnresolvedMention">
    <w:name w:val="Unresolved Mention"/>
    <w:basedOn w:val="DefaultParagraphFont"/>
    <w:uiPriority w:val="99"/>
    <w:semiHidden/>
    <w:unhideWhenUsed/>
    <w:rsid w:val="004E1384"/>
    <w:rPr>
      <w:color w:val="605E5C"/>
      <w:shd w:val="clear" w:color="auto" w:fill="E1DFDD"/>
    </w:rPr>
  </w:style>
  <w:style w:type="paragraph" w:styleId="ListParagraph">
    <w:name w:val="List Paragraph"/>
    <w:basedOn w:val="Normal"/>
    <w:uiPriority w:val="34"/>
    <w:qFormat/>
    <w:rsid w:val="00E96FF3"/>
    <w:pPr>
      <w:spacing w:after="200" w:line="276" w:lineRule="auto"/>
      <w:ind w:left="720"/>
      <w:contextualSpacing/>
    </w:pPr>
  </w:style>
  <w:style w:type="paragraph" w:styleId="Title">
    <w:name w:val="Title"/>
    <w:basedOn w:val="Normal"/>
    <w:next w:val="Normal"/>
    <w:link w:val="TitleChar"/>
    <w:uiPriority w:val="10"/>
    <w:qFormat/>
    <w:rsid w:val="00E96FF3"/>
    <w:pPr>
      <w:contextualSpacing/>
    </w:pPr>
    <w:rPr>
      <w:rFonts w:ascii="Adobe Caslon Pro Bold" w:hAnsi="Adobe Caslon Pro Bold"/>
      <w:sz w:val="32"/>
      <w:szCs w:val="32"/>
    </w:rPr>
  </w:style>
  <w:style w:type="character" w:customStyle="1" w:styleId="TitleChar">
    <w:name w:val="Title Char"/>
    <w:basedOn w:val="DefaultParagraphFont"/>
    <w:link w:val="Title"/>
    <w:uiPriority w:val="10"/>
    <w:rsid w:val="00E96FF3"/>
    <w:rPr>
      <w:rFonts w:ascii="Adobe Caslon Pro Bold" w:hAnsi="Adobe Caslon Pro Bold"/>
      <w:sz w:val="32"/>
      <w:szCs w:val="32"/>
    </w:rPr>
  </w:style>
  <w:style w:type="paragraph" w:styleId="NoSpacing">
    <w:name w:val="No Spacing"/>
    <w:uiPriority w:val="1"/>
    <w:qFormat/>
    <w:rsid w:val="00E96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nsford@landmark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F3907226314585D230BE3E02B006" ma:contentTypeVersion="17" ma:contentTypeDescription="Create a new document." ma:contentTypeScope="" ma:versionID="68ac0e9400f944a3d7854380bf1b27e6">
  <xsd:schema xmlns:xsd="http://www.w3.org/2001/XMLSchema" xmlns:xs="http://www.w3.org/2001/XMLSchema" xmlns:p="http://schemas.microsoft.com/office/2006/metadata/properties" xmlns:ns2="5c25e986-3b7f-4487-9233-1e2f66f9c53d" xmlns:ns3="96bcac26-652b-4c69-ba74-9a302d2a57a2" targetNamespace="http://schemas.microsoft.com/office/2006/metadata/properties" ma:root="true" ma:fieldsID="9bfbd6fb33334d6085eaa36ef15b2d82" ns2:_="" ns3:_="">
    <xsd:import namespace="5c25e986-3b7f-4487-9233-1e2f66f9c53d"/>
    <xsd:import namespace="96bcac26-652b-4c69-ba74-9a302d2a5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5e986-3b7f-4487-9233-1e2f66f9c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2d2fa1-7396-4996-823a-d838ecbdae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cac26-652b-4c69-ba74-9a302d2a57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b6aca-34d9-4668-b1ee-8b9bd92808fc}" ma:internalName="TaxCatchAll" ma:showField="CatchAllData" ma:web="96bcac26-652b-4c69-ba74-9a302d2a57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bcac26-652b-4c69-ba74-9a302d2a57a2" xsi:nil="true"/>
    <lcf76f155ced4ddcb4097134ff3c332f xmlns="5c25e986-3b7f-4487-9233-1e2f66f9c53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69710-ED60-44EB-BA87-C55DE825A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5e986-3b7f-4487-9233-1e2f66f9c53d"/>
    <ds:schemaRef ds:uri="96bcac26-652b-4c69-ba74-9a302d2a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E86E3-ACDF-4CC8-850A-7FEAD5F78484}">
  <ds:schemaRefs>
    <ds:schemaRef ds:uri="http://schemas.microsoft.com/office/2006/metadata/properties"/>
    <ds:schemaRef ds:uri="http://schemas.microsoft.com/office/infopath/2007/PartnerControls"/>
    <ds:schemaRef ds:uri="96bcac26-652b-4c69-ba74-9a302d2a57a2"/>
    <ds:schemaRef ds:uri="5c25e986-3b7f-4487-9233-1e2f66f9c53d"/>
  </ds:schemaRefs>
</ds:datastoreItem>
</file>

<file path=customXml/itemProps3.xml><?xml version="1.0" encoding="utf-8"?>
<ds:datastoreItem xmlns:ds="http://schemas.openxmlformats.org/officeDocument/2006/customXml" ds:itemID="{08D8B89B-49C2-40BB-B132-4750F9E69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Chinn</dc:creator>
  <cp:keywords/>
  <dc:description/>
  <cp:lastModifiedBy>Vicky Thompson</cp:lastModifiedBy>
  <cp:revision>2</cp:revision>
  <cp:lastPrinted>2023-10-05T11:28:00Z</cp:lastPrinted>
  <dcterms:created xsi:type="dcterms:W3CDTF">2023-12-21T11:09:00Z</dcterms:created>
  <dcterms:modified xsi:type="dcterms:W3CDTF">2023-12-21T11:09:00Z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0x0101007C17F3907226314585D230BE3E02B006</vt:lpwstr>
  </property>
</Properties>
</file>